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1C" w:rsidRPr="00BB2A1C" w:rsidRDefault="00BB2A1C" w:rsidP="00BB2A1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b/>
          <w:bCs/>
          <w:color w:val="FF0000"/>
          <w:sz w:val="30"/>
          <w:lang w:eastAsia="ru-RU"/>
        </w:rPr>
        <w:t>Зачем нужны прививки перед поступлением в садик?</w:t>
      </w:r>
    </w:p>
    <w:p w:rsidR="00BB2A1C" w:rsidRPr="00BB2A1C" w:rsidRDefault="00BB2A1C" w:rsidP="00BB2A1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BB2A1C" w:rsidRPr="00BB2A1C" w:rsidRDefault="00BB2A1C" w:rsidP="00BB2A1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428750" cy="2647950"/>
            <wp:effectExtent l="19050" t="0" r="0" b="0"/>
            <wp:docPr id="1" name="Рисунок 0" descr="doctor_w150_h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w150_h278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Рано или поздно, мы сталкиваемся с необходимостью отдать ребенка в детский садик. И дело здесь не только в том, что маме хочется или нужно начать работать, но и в том, что ребенку пора начинать общаться с другими детьми, чтобы приобрести навыки взаимодействия </w:t>
      </w:r>
      <w:proofErr w:type="gram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себе подобными.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Поступление в садик это не только первый выход ребенка в общество. Это еще и столкновение со всем многообразием микробов и вирусов, которые окружают человека. В этом смысле, поступление в садик, по сути, представляет собой боцманский способ обучения плаванию. Поскольку "Плавать" иммунная система учится не сразу, процесс обучения дает сбои, и ребенок начинает часто болеть.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Если не воспринимать прививки как нечто, нужное исключительно детсадовским медсестрам и зав</w:t>
      </w:r>
      <w:proofErr w:type="gram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оликлиникой, то вакцины могут сослужить неплохую службу, заранее обучив иммунитет ребенка навыкам "плавания" в микромире.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Обязательные прививки, входящие в календари вакцинации стран СНГ, защищают от самых тяжелых и смертельных инфекций – туберкулеза, дифтерии, столбняка, коклюша и др., однако в силу разных причин в календарь пока не входят вакцины, которые бы облегчить жизнь ребенка при поступлении в садик.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Итак, какие из дополнительных прививок можно сделать с тем, чтобы лучше подготовить организм малыша к столкновению с самыми распространенными микробами?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b/>
          <w:bCs/>
          <w:color w:val="660033"/>
          <w:sz w:val="24"/>
          <w:szCs w:val="24"/>
          <w:lang w:eastAsia="ru-RU"/>
        </w:rPr>
        <w:t>Календарь дополнительных прививок при подготовке ребенка к садику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BB2A1C" w:rsidRPr="00BB2A1C" w:rsidRDefault="00BB2A1C" w:rsidP="00BB2A1C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2A1C">
        <w:rPr>
          <w:rFonts w:ascii="Georgia" w:eastAsia="Times New Roman" w:hAnsi="Georgia" w:cs="Times New Roman"/>
          <w:b/>
          <w:bCs/>
          <w:color w:val="660033"/>
          <w:sz w:val="24"/>
          <w:szCs w:val="24"/>
          <w:lang w:eastAsia="ru-RU"/>
        </w:rPr>
        <w:t>Комментарии.</w:t>
      </w:r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 Этот ориентировочный календарь составлен с учетом того, что вопрос о подготовке ребенка к садику встает незадолго до момента начала посещения, поэтому прививки должны быть сделаны в сжатые сроки. В то же время, данный календарь учитывает и то, что выработка иммунитета после прививок занимает некоторое время, а значит, некоторые прививки должны быть сделаны уже к моменту прихода в садик.</w:t>
      </w:r>
    </w:p>
    <w:p w:rsidR="00BB2A1C" w:rsidRPr="00BB2A1C" w:rsidRDefault="00BB2A1C" w:rsidP="00BB2A1C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B2A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937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2088"/>
        <w:gridCol w:w="2434"/>
        <w:gridCol w:w="4853"/>
      </w:tblGrid>
      <w:tr w:rsidR="00BB2A1C" w:rsidRPr="00BB2A1C" w:rsidTr="00BB2A1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b/>
                <w:bCs/>
                <w:color w:val="660033"/>
                <w:sz w:val="21"/>
                <w:lang w:eastAsia="ru-RU"/>
              </w:rPr>
              <w:t>Возраст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b/>
                <w:bCs/>
                <w:color w:val="660033"/>
                <w:sz w:val="21"/>
                <w:lang w:eastAsia="ru-RU"/>
              </w:rPr>
              <w:t>Прививки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b/>
                <w:bCs/>
                <w:color w:val="660033"/>
                <w:sz w:val="21"/>
                <w:lang w:eastAsia="ru-RU"/>
              </w:rPr>
              <w:t>Примечание</w:t>
            </w:r>
          </w:p>
        </w:tc>
      </w:tr>
      <w:tr w:rsidR="00BB2A1C" w:rsidRPr="00BB2A1C" w:rsidTr="00BB2A1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b/>
                <w:bCs/>
                <w:color w:val="660033"/>
                <w:sz w:val="21"/>
                <w:lang w:eastAsia="ru-RU"/>
              </w:rPr>
              <w:t>За 2 мес.</w:t>
            </w:r>
          </w:p>
          <w:p w:rsidR="00BB2A1C" w:rsidRPr="00BB2A1C" w:rsidRDefault="00BB2A1C" w:rsidP="00BB2A1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>(за 2 мес. до начала посещения садика)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>Гемофильная</w:t>
            </w:r>
            <w:proofErr w:type="spellEnd"/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 xml:space="preserve"> инфекция</w:t>
            </w:r>
          </w:p>
          <w:p w:rsidR="00BB2A1C" w:rsidRPr="00BB2A1C" w:rsidRDefault="00BB2A1C" w:rsidP="00BB2A1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>-Менингококковая инфекция*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 xml:space="preserve">с возраста 18 мес., однократно. В условиях </w:t>
            </w:r>
            <w:proofErr w:type="gramStart"/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>неблагоприятной</w:t>
            </w:r>
            <w:proofErr w:type="gramEnd"/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>эпидобстановки</w:t>
            </w:r>
            <w:proofErr w:type="spellEnd"/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 xml:space="preserve"> – с 6 мес., двукратно с интервалом в 3 мес.</w:t>
            </w:r>
          </w:p>
        </w:tc>
      </w:tr>
      <w:tr w:rsidR="00BB2A1C" w:rsidRPr="00BB2A1C" w:rsidTr="00BB2A1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b/>
                <w:bCs/>
                <w:color w:val="660033"/>
                <w:sz w:val="21"/>
                <w:lang w:eastAsia="ru-RU"/>
              </w:rPr>
              <w:t>За 1 мес.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 xml:space="preserve">-Пневмококковая </w:t>
            </w:r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инфекция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 2 лет, однократно</w:t>
            </w:r>
          </w:p>
        </w:tc>
      </w:tr>
      <w:tr w:rsidR="00BB2A1C" w:rsidRPr="00BB2A1C" w:rsidTr="00BB2A1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b/>
                <w:bCs/>
                <w:color w:val="660033"/>
                <w:sz w:val="21"/>
                <w:lang w:eastAsia="ru-RU"/>
              </w:rPr>
              <w:lastRenderedPageBreak/>
              <w:t>Ежегодно, в сентябре-октябре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color w:val="660033"/>
                <w:sz w:val="21"/>
                <w:szCs w:val="21"/>
                <w:bdr w:val="none" w:sz="0" w:space="0" w:color="auto" w:frame="1"/>
                <w:lang w:eastAsia="ru-RU"/>
              </w:rPr>
              <w:t>-Грипп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1C" w:rsidRPr="00BB2A1C" w:rsidRDefault="00BB2A1C" w:rsidP="00BB2A1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2A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b/>
          <w:bCs/>
          <w:color w:val="660033"/>
          <w:sz w:val="24"/>
          <w:szCs w:val="24"/>
          <w:lang w:eastAsia="ru-RU"/>
        </w:rPr>
        <w:t>Описания инфекций и прививок против них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BB2A1C">
        <w:rPr>
          <w:rFonts w:ascii="Georgia" w:eastAsia="Times New Roman" w:hAnsi="Georgia" w:cs="Times New Roman"/>
          <w:b/>
          <w:bCs/>
          <w:color w:val="660033"/>
          <w:sz w:val="24"/>
          <w:szCs w:val="24"/>
          <w:lang w:eastAsia="ru-RU"/>
        </w:rPr>
        <w:t>ХИБ-инфекция</w:t>
      </w:r>
      <w:proofErr w:type="spellEnd"/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Гемофильная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палочка типа </w:t>
      </w: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Haemophilus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influenzae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тип </w:t>
      </w: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, ХИБ) в силу особенностей развития иммунной системы ребенка представляет опасность для детей в возрасте до 5 лет. Является второй по значимости после менингококков причиной бактериальных менингитов у детей в возрасте до 5 лет, около 25% пневмоний (воспаление легких), до трети всех случаев ОРЗ, часть бронхитов, отитов и других заболеваний.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Основная опасность состоит в том, что носителями </w:t>
      </w: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гемофильной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палочки являются до 40% детей, посещающих детские садики. С учетом этого, а также способности микроба передаваться не только воздушно-капельным, но и контактным путем (со слюной, через игрушки), для детей, начинающих посещать детские садик, </w:t>
      </w: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гемофильная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палочка представляет особую опасность.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Как показало многократное снижение частоты ОРЗ и уровня носительства ХИБ в результате вакцинации в организованных детских коллективах, </w:t>
      </w: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гемофильная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инфекция, по сути, является основной причиной ОРЗ у детей, посещающих детские садики.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Прививка обладает практически 100% эффективностью и защищает ребенка на протяжении всего периода восприимчивости к </w:t>
      </w: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ХИБ-инфекции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, то есть до 5 лет.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Переносится прививка легко – побочные реакции имеют место не более</w:t>
      </w:r>
      <w:proofErr w:type="gram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чем у 5-7% </w:t>
      </w:r>
      <w:proofErr w:type="gram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привитых</w:t>
      </w:r>
      <w:proofErr w:type="gram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и в основном выражены покраснением и небольшим уплотнением в месте введения вакцины. Температурные реакции не характерны и встречаются редко.</w:t>
      </w:r>
    </w:p>
    <w:p w:rsidR="00BB2A1C" w:rsidRPr="00BB2A1C" w:rsidRDefault="00BB2A1C" w:rsidP="00BB2A1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Прививку можно делать с возраста 3 месяцев, при этом полная схема вакцинации аналогична таковой для АКДС и состоит из 4-х прививок. Преимуществом полной вакцинации является возможность защитить ребенка на период максимального риска </w:t>
      </w: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ХИБ-менингита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– на возраст 6-12 мес. При возрасте ребенка свыше 12 месяцев показана всего одна прививка </w:t>
      </w: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ХИБ-вакциной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. Вакцинацию против </w:t>
      </w:r>
      <w:proofErr w:type="spellStart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>ХИБ-инфекции</w:t>
      </w:r>
      <w:proofErr w:type="spellEnd"/>
      <w:r w:rsidRPr="00BB2A1C">
        <w:rPr>
          <w:rFonts w:ascii="Georgia" w:eastAsia="Times New Roman" w:hAnsi="Georgia" w:cs="Times New Roman"/>
          <w:color w:val="660033"/>
          <w:sz w:val="24"/>
          <w:szCs w:val="24"/>
          <w:bdr w:val="none" w:sz="0" w:space="0" w:color="auto" w:frame="1"/>
          <w:lang w:eastAsia="ru-RU"/>
        </w:rPr>
        <w:t xml:space="preserve"> можно сочетать с другими кал</w:t>
      </w:r>
    </w:p>
    <w:p w:rsidR="00B72D9D" w:rsidRDefault="00B72D9D"/>
    <w:sectPr w:rsidR="00B72D9D" w:rsidSect="00B7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2A1C"/>
    <w:rsid w:val="001E3C19"/>
    <w:rsid w:val="009308E4"/>
    <w:rsid w:val="00A47979"/>
    <w:rsid w:val="00B72D9D"/>
    <w:rsid w:val="00BB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A1C"/>
    <w:rPr>
      <w:b/>
      <w:bCs/>
    </w:rPr>
  </w:style>
  <w:style w:type="paragraph" w:styleId="a4">
    <w:name w:val="Normal (Web)"/>
    <w:basedOn w:val="a"/>
    <w:uiPriority w:val="99"/>
    <w:unhideWhenUsed/>
    <w:rsid w:val="00BB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Company>Krokoz™ Inc.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Ксюнечка</dc:creator>
  <cp:keywords/>
  <dc:description/>
  <cp:lastModifiedBy>Ксюнечка</cp:lastModifiedBy>
  <cp:revision>2</cp:revision>
  <dcterms:created xsi:type="dcterms:W3CDTF">2018-02-03T15:58:00Z</dcterms:created>
  <dcterms:modified xsi:type="dcterms:W3CDTF">2018-02-03T15:59:00Z</dcterms:modified>
</cp:coreProperties>
</file>